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9E6C16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9E6C16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6C16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9E6C16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9E6C1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9E6C16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г.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01.01.2024</w:t>
            </w:r>
          </w:p>
        </w:tc>
      </w:tr>
      <w:tr w:rsidR="009E6C1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9E6C1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</w:tr>
      <w:tr w:rsidR="009E6C1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</w:tr>
      <w:tr w:rsidR="009E6C1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02117574</w:t>
            </w:r>
          </w:p>
        </w:tc>
      </w:tr>
      <w:tr w:rsidR="009E6C1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КОМИТЕТ ОБРАЗОВАНИЯ АДМИНИСТРАЦИИ МУНИЦИПАЛЬНОГО ОБРАЗОВАНИЯ УЗЛОВСКИЙ РАЙОН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</w:tr>
      <w:tr w:rsidR="009E6C16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Собственный бюджет Узловского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9E6C1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70644000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</w:tr>
      <w:tr w:rsidR="009E6C16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9E6C16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9E6C16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9E6C16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9E6C16" w:rsidRDefault="009E6C16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9E6C1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"Организационная структура субъекта бюджетной отчетности"</w:t>
            </w:r>
          </w:p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E6C1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 образования администрации муниципального образования Узловский район (ИНН 7117003743 КПП 711701001 ОГРН 1027101483970) является муниципальным отраслевым(функциональным) органом администрации муниципального образования Узловский район, обеспечивающ</w:t>
                  </w:r>
                  <w:r>
                    <w:rPr>
                      <w:color w:val="000000"/>
                      <w:sz w:val="28"/>
                      <w:szCs w:val="28"/>
                    </w:rPr>
                    <w:t>им в рамках своих полномочий создание необходимых условий для реализации конституционных прав граждан на получение общедоступного и бесплатного образования в подведомственных ему муниципальных образовательных организациях.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структуру комитета входит экон</w:t>
                  </w:r>
                  <w:r>
                    <w:rPr>
                      <w:color w:val="000000"/>
                      <w:sz w:val="28"/>
                      <w:szCs w:val="28"/>
                    </w:rPr>
                    <w:t>омический отдел. Штатное расписание комитета утверждается главой администрации муниципального образования Узловский район.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обладает правами юридического лица, является муниципальным казенным учреждением, созданным для осуществления управления в сфе</w:t>
                  </w:r>
                  <w:r>
                    <w:rPr>
                      <w:color w:val="000000"/>
                      <w:sz w:val="28"/>
                      <w:szCs w:val="28"/>
                    </w:rPr>
                    <w:t>ре образования, подлежит государственной регистрации в качестве юридического лица в соответствии с Федеральным законом.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Полное наименование: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комитет образования администрации муниципального образования Узловский район</w:t>
                  </w:r>
                  <w:r>
                    <w:rPr>
                      <w:color w:val="000000"/>
                      <w:sz w:val="28"/>
                      <w:szCs w:val="28"/>
                    </w:rPr>
                    <w:t>. Сокращенное наименование: комитет об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разования Узловского района. Организационно-правовая форма комитета: муниципальное учреждение, тип: казённое учреждение. Учредителем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комитета является муниципальное образование Узловский район. Функции и полномочия Учредителя осуществляет от имени муниципа</w:t>
                  </w:r>
                  <w:r>
                    <w:rPr>
                      <w:color w:val="000000"/>
                      <w:sz w:val="28"/>
                      <w:szCs w:val="28"/>
                    </w:rPr>
                    <w:t>льного образования Узловский район администрация муниципального образования Узловский район. Комитет подчиняется главе администрации муниципального образования Узловский район и несет ответственность перед администрацией за выполнение возложенных на него з</w:t>
                  </w:r>
                  <w:r>
                    <w:rPr>
                      <w:color w:val="000000"/>
                      <w:sz w:val="28"/>
                      <w:szCs w:val="28"/>
                    </w:rPr>
                    <w:t>адач и функций. Оперативное руководство и координацию деятельности комитета осуществляет заместитель главы администрации, курирующий вопросы социальной сферы.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действует от имени муниципального образования, уполномочен принимать бюджетные обязатель</w:t>
                  </w:r>
                  <w:r>
                    <w:rPr>
                      <w:color w:val="000000"/>
                      <w:sz w:val="28"/>
                      <w:szCs w:val="28"/>
                    </w:rPr>
                    <w:t>ства в соответствии с бюджетным законодательством Российской Федерации от имени муниципального образования и осуществлять закупки.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в своей деятельности руководствуется Конституцией Российской Федерации, федеральными законами и законами Тульской об</w:t>
                  </w:r>
                  <w:r>
                    <w:rPr>
                      <w:color w:val="000000"/>
                      <w:sz w:val="28"/>
                      <w:szCs w:val="28"/>
                    </w:rPr>
                    <w:t>ласти, указами Президента Российской Федерации, постановлениями и распоряжениями Правительства Российской Федерации, Уставом муниципального образования Узловский район, правовыми актами Собрания представителей, актами главы администрации, а также настоящим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Положением.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Деятельность комитета по осуществлению отдельных государственных полномочий подконтрольна соответствующим государственным органам в порядке, установленном законодательством Тульской области.  Предметом деятельности комитета является осуществле</w:t>
                  </w:r>
                  <w:r>
                    <w:rPr>
                      <w:color w:val="000000"/>
                      <w:sz w:val="28"/>
                      <w:szCs w:val="28"/>
                    </w:rPr>
                    <w:t>ние, в рамках своих полномочий, управление муниципальными образовательными организациями, основным видом деятельности которых является реализация основных общеобразовательных программ и дополнительных общеобразовательных программ; муниципальным казённым уч</w:t>
                  </w:r>
                  <w:r>
                    <w:rPr>
                      <w:color w:val="000000"/>
                      <w:sz w:val="28"/>
                      <w:szCs w:val="28"/>
                    </w:rPr>
                    <w:t>реждением «Центр методического обеспечения образовательной деятельности муниципальных образовательных организаций», а также осуществление в пределах своих полномочий мероприятий по обеспечению организации отдыха и оздоровления детей в каникулярное время, в</w:t>
                  </w:r>
                  <w:r>
                    <w:rPr>
                      <w:color w:val="000000"/>
                      <w:sz w:val="28"/>
                      <w:szCs w:val="28"/>
                    </w:rPr>
                    <w:t>ключая мероприятии по обеспечению безопасности их жизни и здоровья.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взаимодействует с отраслевыми (функциональными) органами, отраслевыми (функциональными) структурными подразделениями, органами территориального управления администрации, правитель</w:t>
                  </w:r>
                  <w:r>
                    <w:rPr>
                      <w:color w:val="000000"/>
                      <w:sz w:val="28"/>
                      <w:szCs w:val="28"/>
                    </w:rPr>
                    <w:t>ством Тульской области, органами местного самоуправления, учреждениями, общественными организациями, средствами массовой информации по вопросам, входящим в его компетенцию.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Основными задачами</w:t>
                  </w:r>
                  <w:r>
                    <w:rPr>
                      <w:color w:val="000000"/>
                      <w:sz w:val="28"/>
                      <w:szCs w:val="28"/>
                    </w:rPr>
                    <w:t> комитета являются: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Организация предоставления общедоступного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муниципального образования Узловский район, за исключением 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стандартами, отнесенных к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полномочиям органов государственной власти субъекта Российской Федерации, (далее </w:t>
                  </w:r>
                  <w:r>
                    <w:rPr>
                      <w:color w:val="000000"/>
                      <w:sz w:val="28"/>
                      <w:szCs w:val="28"/>
                    </w:rPr>
                    <w:t>по тексту - муниципальное образование).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Организация предоставления дополнительного образования детей по дополнительным общеобразовательным программам - дополнительным общеразвивающим программам, дополнительным предпрофессиональным программам, дополните</w:t>
                  </w:r>
                  <w:r>
                    <w:rPr>
                      <w:color w:val="000000"/>
                      <w:sz w:val="28"/>
                      <w:szCs w:val="28"/>
                    </w:rPr>
                    <w:t>льным образовательным программам спортивной подготовки в муниципальных образовательных организациях на территории муниципального образования (за исключением дополнительного образования детей, финансовое обеспечение которого осуществляется органами государс</w:t>
                  </w:r>
                  <w:r>
                    <w:rPr>
                      <w:color w:val="000000"/>
                      <w:sz w:val="28"/>
                      <w:szCs w:val="28"/>
                    </w:rPr>
                    <w:t>твенной власти субъекта Российской Федерации).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Создание условий для осуществления присмотра и ухода за детьми, содержания детей в муниципальных образовательных организациях.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Участие в создании, реорганизации и ликвидации муниципальных образовательных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организаций.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Организация обеспечения содержания зданий и сооружений муниципальных образовательных организаций, обустройство прилегающих к ним территорий.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Осуществление учета детей, подлежащих обучению по образовательным программам дошкольного, начал</w:t>
                  </w:r>
                  <w:r>
                    <w:rPr>
                      <w:color w:val="000000"/>
                      <w:sz w:val="28"/>
                      <w:szCs w:val="28"/>
                    </w:rPr>
                    <w:t>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образования.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Участие в организации досуга и временной занятости несовершеннолетних.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Осущес</w:t>
                  </w:r>
                  <w:r>
                    <w:rPr>
                      <w:color w:val="000000"/>
                      <w:sz w:val="28"/>
                      <w:szCs w:val="28"/>
                    </w:rPr>
                    <w:t>твление, в пределах своих полномочий, мероприятий по обеспечению организации отдыха и оздоровления детей в каникулярное время.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соответствии с основными задачами комитет осуществляет следующие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основные функции</w:t>
                  </w:r>
                  <w:r>
                    <w:rPr>
                      <w:color w:val="000000"/>
                      <w:sz w:val="28"/>
                      <w:szCs w:val="28"/>
                    </w:rPr>
                    <w:t>: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Осуществляет в рамках своих полномочий у</w:t>
                  </w:r>
                  <w:r>
                    <w:rPr>
                      <w:color w:val="000000"/>
                      <w:sz w:val="28"/>
                      <w:szCs w:val="28"/>
                    </w:rPr>
                    <w:t>правление муниципальными организациями дошкольного, начального общего, основного общего, среднего общего образования, дополнительного образования. Обеспечивает прием в муниципальные образовательные организации всех граждан, которые проживают на закрепленно</w:t>
                  </w:r>
                  <w:r>
                    <w:rPr>
                      <w:color w:val="000000"/>
                      <w:sz w:val="28"/>
                      <w:szCs w:val="28"/>
                    </w:rPr>
                    <w:t>й территории и имеют право на получение образования соответствующего уровня.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Координирует и контролирует деятельность, утверждает состав и график работы Узловской территориальной психолого-медико-педагогической комиссии муниципального образования Узловский район, которая своевременно выявляет детей с особенностями в физическом и </w:t>
                  </w:r>
                  <w:r>
                    <w:rPr>
                      <w:color w:val="000000"/>
                      <w:sz w:val="28"/>
                      <w:szCs w:val="28"/>
                    </w:rPr>
                    <w:t>(или) психическом развитии и (или) отклонениями в поведении.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Совместно с комиссией по делам несовершеннолетних и защите их прав и родителями (законными представителями) несовершеннолетнего, достигшего возраста пятнадцати лет, оставившего муниципальную об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щеобразовательную организацию до получения основного общего образования, в месячный срок принимает меры по продолжению освоения несовершеннолетним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образовательной программы основного общего образования в иной форме обучения и с его согласия по трудоустройс</w:t>
                  </w:r>
                  <w:r>
                    <w:rPr>
                      <w:color w:val="000000"/>
                      <w:sz w:val="28"/>
                      <w:szCs w:val="28"/>
                    </w:rPr>
                    <w:t>тву.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Предоставляет государственные и муниципальные услуги в электронном виде, в том числе контролирует направление (зачисление) детей в муниципальные дошкольные образовательные организации через ведомственную систему РИС УСО ТО АИС «Е-услуги. Образовани</w:t>
                  </w:r>
                  <w:r>
                    <w:rPr>
                      <w:color w:val="000000"/>
                      <w:sz w:val="28"/>
                      <w:szCs w:val="28"/>
                    </w:rPr>
                    <w:t>е».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Является организатором школьного и муниципального этапов всероссийской олимпиады школьников; организует участие обучающихся в региональном этапе всероссийской олимпиады школьников.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Участвует в проведении оценки последствий принятия решения о реко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</w:t>
                  </w:r>
                  <w:r>
                    <w:rPr>
                      <w:color w:val="000000"/>
                      <w:sz w:val="28"/>
                      <w:szCs w:val="28"/>
                    </w:rPr>
                    <w:t>для детей, для обеспечения жизнедеятельности, образования, развития, отдыха детей.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Осуществляет контроль за использованием имущества муниципальных образовательных организаций, находящегося у них на праве оперативного управления. 3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-Обеспечивает проведение ГИА в Узловском районе.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Координирует деятельность муниципальных образовательных организаций по ресурсосбережению и энергосбережению.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Организует в рамках своих полномочий летний отдых, досуг и занятость несовершеннолетних, а та</w:t>
                  </w:r>
                  <w:r>
                    <w:rPr>
                      <w:color w:val="000000"/>
                      <w:sz w:val="28"/>
                      <w:szCs w:val="28"/>
                    </w:rPr>
                    <w:t>кже отдых детей в каникулярное время.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Является главным распорядителем бюджетных средств в отношении подведомственных муниципальных организаций: - обеспечивает результативность, адресность и целевой характер использования бюджетных средств в соответствии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 утвержденными бюджетными ассигнованиями и лимитами бюджетных обязательств; - формирует перечень подведомственных ему распорядителей и получателей бюджетных средств; - ведет реестр расходных обязательств, подлежащих исполнению в пределах утвержденных лим</w:t>
                  </w:r>
                  <w:r>
                    <w:rPr>
                      <w:color w:val="000000"/>
                      <w:sz w:val="28"/>
                      <w:szCs w:val="28"/>
                    </w:rPr>
                    <w:t>итов бюджетных обязательств и бюджетных ассигнований; - осуществляет планирование соответствующих расходов бюджета, составляет обоснования бюджетных ассигнований; - составляет, утверждает и ведет бюджетную роспись, распределяет бюджетные ассигнования, лими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ты бюджетных обязательств по подведомственным распорядителям и получателям бюджетных средств и исполняет соответствующую часть бюджета; - вносит предложения по формированию и изменению лимитов бюджетных обязательств; - вносит предложения по формированию и </w:t>
                  </w:r>
                  <w:r>
                    <w:rPr>
                      <w:color w:val="000000"/>
                      <w:sz w:val="28"/>
                      <w:szCs w:val="28"/>
                    </w:rPr>
                    <w:t>изменению сводной бюджетной росписи; - осуществляет реализацию программ федерального, регионального и муниципального уровней; - определяет порядок составления, утверждения и ведения бюджетных смет подведомственных казённых учреждений; формирует и утверждае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 муниципальные задания, утверждает планы финансово-хозяйственной деятельности; - формирует бюджетную отчетность главного распорядителя бюджетных средств; - осуществляет финансовое обеспечение выполнения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муниципального задания; - определяет порядок составл</w:t>
                  </w:r>
                  <w:r>
                    <w:rPr>
                      <w:color w:val="000000"/>
                      <w:sz w:val="28"/>
                      <w:szCs w:val="28"/>
                    </w:rPr>
                    <w:t>ения и утверждения плана финансово-хозяйственной деятельности бюджетного учреждения (организации) в соответствии с требованиями, установленными Министерством финансов Российской Федерации;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Осуществляет контроль за деятельностью казенных и бюджетных орга</w:t>
                  </w:r>
                  <w:r>
                    <w:rPr>
                      <w:color w:val="000000"/>
                      <w:sz w:val="28"/>
                      <w:szCs w:val="28"/>
                    </w:rPr>
                    <w:t>низаций, подведомственных комитету, в соответствие с действующим законодательством Российской Федерации, в пределах переданных полномочий.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Является главным администратором доходов бюджета в отношении подведомственных казенных муниципальных образовательн</w:t>
                  </w:r>
                  <w:r>
                    <w:rPr>
                      <w:color w:val="000000"/>
                      <w:sz w:val="28"/>
                      <w:szCs w:val="28"/>
                    </w:rPr>
                    <w:t>ых организаций и осуществляет функции в пределах своих полномочий.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Комитет имеет печать с изображением герба муниципального образования Узловский район и своим наименованием, другие необходимые для осуществления своей деятельности печати, штампы, бланки, </w:t>
                  </w:r>
                  <w:r>
                    <w:rPr>
                      <w:color w:val="000000"/>
                      <w:sz w:val="28"/>
                      <w:szCs w:val="28"/>
                    </w:rPr>
                    <w:t>лицевые счета в органах федерального казначейства и финансовом управлении администрации муниципального образования Узловский район (далее - финансовое управление). </w:t>
                  </w:r>
                </w:p>
                <w:p w:rsidR="009E6C16" w:rsidRDefault="00EA24B3">
                  <w:pPr>
                    <w:spacing w:after="3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 комитета: 301600, Тульская область, г. Узловая, ул. Кирова, д. 25  </w:t>
                  </w:r>
                </w:p>
                <w:p w:rsidR="009E6C16" w:rsidRDefault="00EA24B3">
                  <w:pPr>
                    <w:spacing w:after="3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</w:t>
                  </w:r>
                  <w:r>
                    <w:rPr>
                      <w:color w:val="000000"/>
                      <w:sz w:val="28"/>
                      <w:szCs w:val="28"/>
                    </w:rPr>
                    <w:t>   Место нахождения Учредителя:301600 Тульская область, Узловский район, г. Узловая, пл. Ленина, д 1</w:t>
                  </w:r>
                </w:p>
                <w:p w:rsidR="009E6C16" w:rsidRDefault="00EA24B3">
                  <w:pPr>
                    <w:spacing w:after="3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Положение о комитете образования администрации муниципального образования Узловский район утверждено Решением Собрания представителей 7-ого созыва  от 20.0</w:t>
                  </w:r>
                  <w:r>
                    <w:rPr>
                      <w:color w:val="000000"/>
                      <w:sz w:val="28"/>
                      <w:szCs w:val="28"/>
                    </w:rPr>
                    <w:t>5.2013  № 74-461, с изменениями от 15.11.2023 года.</w:t>
                  </w:r>
                </w:p>
                <w:p w:rsidR="009E6C16" w:rsidRDefault="00EA24B3">
                  <w:pPr>
                    <w:spacing w:after="3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Подведомственные учреждения комитета образования являются юридическими лицами. Статус и функции учреждений определяются их Уставами, разработанными коллективами и утвержденными приказами по комитету образ</w:t>
                  </w:r>
                  <w:r>
                    <w:rPr>
                      <w:color w:val="000000"/>
                      <w:sz w:val="28"/>
                      <w:szCs w:val="28"/>
                    </w:rPr>
                    <w:t>ования администрации муниципального образования Узловский район.</w:t>
                  </w:r>
                </w:p>
                <w:p w:rsidR="009E6C16" w:rsidRDefault="00EA24B3">
                  <w:pPr>
                    <w:spacing w:after="3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Комитету образования подведомственны следующие организации:</w:t>
                  </w:r>
                </w:p>
                <w:p w:rsidR="009E6C16" w:rsidRDefault="009E6C1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3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"/>
                    <w:gridCol w:w="9019"/>
                    <w:gridCol w:w="465"/>
                  </w:tblGrid>
                  <w:tr w:rsidR="009E6C16">
                    <w:tc>
                      <w:tcPr>
                        <w:tcW w:w="9870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jc w:val="both"/>
                        </w:pPr>
                      </w:p>
                      <w:p w:rsidR="009E6C16" w:rsidRDefault="009E6C16">
                        <w:pPr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общеобразовательное учреждение средняя общеобразовательная школа № 1 (МБОУ СОШ № 1)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средняя общеобразовательная школа № 2 (МКОУ СОШ № 2)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средняя общеобразовательная школа № 3 (МКОУ СОШ № 3)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казенное общеобразовательное учреждение «Центр образования № 4»</w:t>
                        </w:r>
                      </w:p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(МКОУ ЦО № 4)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ение «Центр образования Акимо-Ильинский» (МКОУ «Центр образования Акимо-Ильинский»)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средняя общеобразовательная школа № 7 (МКОУ СОШ № 7)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Муниципальное казённое общеобразовательное учреждение средняя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общеобразовательная школа  № 9 (МКОУ СОШ № 9)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«Центр образования Люторический»</w:t>
                        </w:r>
                      </w:p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(МКОУ «Центр образования Люторический»)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  казённое общеобразовательное учреждение средняя общеобразовательная школа  № 11 (МКОУ СОШ № 11)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«Центр образования  № 12»  (МКОУ «ЦО № 12»)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бюджетное общеобразовательное учреждение гимназия (МБОУ гимназия)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казённое общеобразовательное учреждение «Центр образования № 14»</w:t>
                        </w:r>
                      </w:p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(МКОУ «Центр образования № 14»)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казённое общеобразовательное учреждение «Центр образования Фёдоровский» (МКОУ «Центр образования Фёдоровский»)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казённое общеобразовательное учреждение средняя общеобразовательная школа  № 16 (МКОУ СОШ № 16)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ьное бюджетное общеобразовательное учреждение средняя общеобразовательная школа № 17 имени Героя Российской Федерации Л.Р. Квасникова (МБОУ СОШ № 17)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общеобразовательное учреждение средняя общеобразовательная школа № 18 имени В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.М. Женко (МБОУ СОШ № 18)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общеобразовательное учреждение «Лицей имени Ивана Ивановича Федунца» (МБОУ лицей)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средняя общеобразовательная школа № 21 (МКОУ СОШ № 21)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общеобразовательное учреждение средняя общеобразовательная школа № 22 (МБОУ СОШ № 22)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«Центр образования Бестужевский» (МКОУ «Центр образования Бестужевский») 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основная общеобразовательная школа № 25  (МКОУ ООШ № 25)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основная общеобразовательная школа № 27</w:t>
                        </w:r>
                      </w:p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(МКОУ ООШ № 27)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щеобразовательное учреждение основная общеобразовательная школа № 29  (МКОУ ООШ № 29)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«Центр образования» (МКОУ «ЦО Краснолесский»)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общеобразовательное учреждение «Центр образования Смородинский» (МКОУ «Центр образования Смородинский»)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общеобразовательное учреждение средняя общеобразовательная школа № 59 имени Героя Советского Союза Д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.А. Медведева     (МБОУ СОШ № 59)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автономное общеобразовательное учреждение средняя общеобразовательная школа № 61 (МАОУ СОШ № 61)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 образовательное учреждение дополнительного образования детей «Детский оздоро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вительно-образовательный (спортивный) центр» (ДООЦ)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образовательное учреждение дополнительного образования  детей «Дворец детского (юношеского) творчества» (МБОУ ДОД «ДДЮТ»)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образовательное учреждение дополнительного образования для детей, нуждающихся в психолого-педагогической и медико-социальной помощи «Центр диагностики и консультирования» (МБОУ ЦДиК)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бюджетное учреждение дополните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льного образования Детско-юношеская спортивная школа (МБУДО ДЮСШ)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дошкольное образовательное учреждение детский сад общеразвивающего вида  № 1     (МКДОУ д/с общеразвивающего вида № 1)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дошкольное образовательное учреждение детский сад  № 3 (МКДОУ д/с № 3)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дошкольное образовательное учреждение детский сад комбинированного вида № 5 (МДОУ д/с комбинированного вида № 5)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муниципальное  казённое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дошкольное образовательное учреждение детский сад     комбинированного вида № 6 (МКДОУ д/с комбинированного вида № 6)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 дошкольное образовательное учреждение детский сад  № 7 (МКДОУ д/с № 7)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 дошкольное образовательное учреждение детский сад  № 9 (МКДОУ д/с № 9)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дошкольное образовательное учреждение детский сад комбинированного № 10 (МКДОУ д/с комбинированного вида № 10)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до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школьное образовательное учреждение центр развития ребенка – детский сад № 14 (МДОУ центр развития ребенка – д/с № 14)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дошкольное образовательное казённое учреждение детский сад № 15 (МКДОУ д/с № 15)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дошкольное образовательное учреждение детский сад № 16 (МКДОУ д/с № 16)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42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дошкольное образовательное учреждение детский сад комбинированного вида № 17 (МДОУ д/с комбинированного вида № 17)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казённ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ое дошкольное образовательное учреждение детский сад комбинированного вида  № 19 (МКДОУ д/с комбинированного  вида № 19)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дошкольное образовательное учреждение центр развития ребенка – детский сад № 20 (МДОУ центр развития ребёнка – д/с №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20)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дошкольное образовательное учреждение центр развития ребёнка - детский сад № 21 (МДОУ центр развития ребенка – д/с № 21)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46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дошкольное образовательное учреждение детский сад общеразвивающего вида № 23 (МДОУ д/с общеразвивающего вида № 23)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47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дошкольное образовательное учреждение детский сад общеразвивающего вида № 25 (МДОУ д/с общеразвивающего вид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 № 25)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48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 казённое дошкольное образовательное учреждение детский сад  № 26 (МКДОУ д/с № 26)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49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дошкольное образовательное учреждение детский сад № 28 общеразвивающего вида (МДОУ д/с № 28 общеразвивающего вида 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дошкольное образовательное учреждение детский сад  № 35 (МКДОУ д/с № 35)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казённое дошкольное образовательное учреждение детский сад  № 36 (МКДОУ д/с № 36)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дошкольное образовательное учреждение д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етский сад общеразвивающего вида № 37 (МДОУ д/с общеразвивающего вида № 37)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53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 дошкольное образовательное учреждение детский сад общеразвивающего вида № 46 (МДОУ д/с общеразвивающего вида № 46)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9E6C16"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  <w:tc>
                      <w:tcPr>
                        <w:tcW w:w="90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казенное учреждение "Центр методического обеспечения "(МКОУ "ЦМО")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9E6C1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9E6C16" w:rsidRDefault="00EA24B3">
                  <w:pPr>
                    <w:spacing w:after="3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Всего на 1 января 2024 года количество подведомственных учреждений составило 54 единицы, в том числе 41 казенных учреждений, 11 бюджетных учреждений и 1 автономное учрежд</w:t>
                  </w:r>
                  <w:r>
                    <w:rPr>
                      <w:color w:val="000000"/>
                      <w:sz w:val="28"/>
                      <w:szCs w:val="28"/>
                    </w:rPr>
                    <w:t>ение.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Комитет образования является главным распорядителем бюджетных средств  и главным администратором доходов бюджета, в отношении подведомственных муниципальных организаций. Годовая бюджетная отчетность представляется  в ПК «WEB-консолидация».  Составлени</w:t>
                  </w:r>
                  <w:r>
                    <w:rPr>
                      <w:color w:val="000000"/>
                      <w:sz w:val="28"/>
                      <w:szCs w:val="28"/>
                    </w:rPr>
                    <w:t>е и предоставление годовой, квартальной, месячной консолидированной отчетности об исполнении бюджета осуществляется начальником экономического отдела комитета образования, что подтверждается должностной инструкцией.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Показатели бюджетной отчетности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сформированы в соответствии с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требованиями Инструкций N N 191н, 157н, 162н, положениями Федеральных стандартов №№ 256н, 260н, 257н, 274н, 275н, 278н, 184н и других действующих нормативно-правовых актов, регулирующих ведение бюджетного учета и составление о</w:t>
                  </w:r>
                  <w:r>
                    <w:rPr>
                      <w:color w:val="000000"/>
                      <w:sz w:val="28"/>
                      <w:szCs w:val="28"/>
                    </w:rPr>
                    <w:t>тчетности.</w:t>
                  </w:r>
                </w:p>
                <w:p w:rsidR="009E6C16" w:rsidRDefault="00EA24B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Ведение бухгалтерского учета, составлению бюджетной, налоговой и статистической отчетности, отчетности в государственные внебюджетные фонды комитета образования и всех подведомственных организаций осуществляется  МУ "ЦБ МУ". Полномочия </w:t>
                  </w:r>
                  <w:r>
                    <w:rPr>
                      <w:color w:val="000000"/>
                      <w:sz w:val="28"/>
                      <w:szCs w:val="28"/>
                    </w:rPr>
                    <w:t>по ведению  бухгалтерского учета комитета образования переданы централизованной бухгалтерии с 01.01.2023 и заключен договора на оказанию услуг по бухгалтерскому обслуживанию от 09.01.2024 б/н. </w:t>
                  </w:r>
                </w:p>
              </w:tc>
            </w:tr>
          </w:tbl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E6C1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"Результаты деятельности субъекта бюджетной отчетности"</w:t>
            </w:r>
          </w:p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E6C1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2023-2024 учебный год было сформировано 379 классов, численность учащихся на 01.01.2024 составляет 7335 человек.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2024 года штатная численность сотрудников комитета образовани</w:t>
                  </w:r>
                  <w:r>
                    <w:rPr>
                      <w:color w:val="000000"/>
                      <w:sz w:val="28"/>
                      <w:szCs w:val="28"/>
                    </w:rPr>
                    <w:t>я составляет 16 человек. Имеется 1 ставка на вакансии. Средняя заработная плата за 2023 год муниципальных и немуниципальных служащих составляет 46871,25 рублей. За 2023 год 4 сотрудники комитета образования прошли курсы по повышению квалификации.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Сре</w:t>
                  </w:r>
                  <w:r>
                    <w:rPr>
                      <w:color w:val="000000"/>
                      <w:sz w:val="28"/>
                      <w:szCs w:val="28"/>
                    </w:rPr>
                    <w:t>днесписочная численность сотрудников, организаций подведомственных комитету образования за 2023 год составляет 2066 человек., в том числе в  МКУ "ЦМО" -14 чел, в дошкольные образовательных учреждениях - 899 чел., в общеобразовательных учреждениях - 1006 че</w:t>
                  </w:r>
                  <w:r>
                    <w:rPr>
                      <w:color w:val="000000"/>
                      <w:sz w:val="28"/>
                      <w:szCs w:val="28"/>
                    </w:rPr>
                    <w:t>л., в учреждениях дополнительного образования - 147 чел.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По состоянию на 01.01.2024 в учреждениях имеются вакансии в количестве 138,98 ст., в том числе: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 в детских садах - 43,07 ст. (2,32 ст. заместителей директора, 15,95 ст. пед. работников, 2,25 </w:t>
                  </w:r>
                  <w:r>
                    <w:rPr>
                      <w:color w:val="000000"/>
                      <w:sz w:val="28"/>
                      <w:szCs w:val="28"/>
                    </w:rPr>
                    <w:t>ст. медперсонала, 21,8 ст. прочие)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школах - 82,31 ст.  (1,1 ст. заместителя руководителя, 55 ст. пед. работников, 0,13 ст. библиотекарей, 26,08 ст. прочие)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учреждениях дополнительного образования - 9,37 ст.(0,08 ст. заместителя руководителя, 4,92 с</w:t>
                  </w:r>
                  <w:r>
                    <w:rPr>
                      <w:color w:val="000000"/>
                      <w:sz w:val="28"/>
                      <w:szCs w:val="28"/>
                    </w:rPr>
                    <w:t>т. пед. работников, 3,57 ст. прочие).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Штатная численность сотрудников учреждений  на 01.01.2024 составляет 3204,37 ед., в том числе руководители 54 ед, пед. работники - 1512,49 ед.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Фактическая численность сотрудников на 01.01.2024  - 2269 челов</w:t>
                  </w:r>
                  <w:r>
                    <w:rPr>
                      <w:color w:val="000000"/>
                      <w:sz w:val="28"/>
                      <w:szCs w:val="28"/>
                    </w:rPr>
                    <w:t>ек.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В отчетном году 572человек  прошли курсы повышения квалификации.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Средняя заработная плата персонала в дошкольных образовательных организациях в 2023 году составила 30805,95 руб., в том числе руководителя - 57583,83 рубля, педагогического пе</w:t>
                  </w:r>
                  <w:r>
                    <w:rPr>
                      <w:color w:val="000000"/>
                      <w:sz w:val="28"/>
                      <w:szCs w:val="28"/>
                    </w:rPr>
                    <w:t>рсонала - 42595,12 руб., прочего персонала - 21679,37 рублей.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Средняя заработная плата персонала в общеобразовательных организациях в 2023 году составила 36243,02 руб., в том числе руководителя - 73397,51 рубль,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педагогического персонала - 45313,7</w:t>
                  </w:r>
                  <w:r>
                    <w:rPr>
                      <w:color w:val="000000"/>
                      <w:sz w:val="28"/>
                      <w:szCs w:val="28"/>
                    </w:rPr>
                    <w:t>1 руб. , прочего персонала - 22099,22 рубля.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Средняя заработная плата персонала в организациях дополнительного образования в 2023 году составила 34096,76 руб., в том числе руководителя - 67369,13 рублей, педагогического персонала - 45535,46 руб., прочего персонала - 21123,56 рублей.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</w:t>
                  </w:r>
                  <w:r>
                    <w:rPr>
                      <w:color w:val="000000"/>
                      <w:sz w:val="28"/>
                      <w:szCs w:val="28"/>
                    </w:rPr>
                    <w:t>Средняя заработная плата по учреждениям за отчетный год увеличилась  на 14% за счет за счет увеличения окладов на 6,1% с 01.10.2023 и увеличения Дорожной карты по 597 Указу президента.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Сотрудники комитета образования и подведомственных организаций о</w:t>
                  </w:r>
                  <w:r>
                    <w:rPr>
                      <w:color w:val="000000"/>
                      <w:sz w:val="28"/>
                      <w:szCs w:val="28"/>
                    </w:rPr>
                    <w:t>беспечены необходимыми основными средствами и материальными запасами в объеме, необходимом для выполнения своих функций. Рабочее место сотрудника оборудовано компьютерной техникой с доступом в интернет. Объекты основных средств в процессе основной деятельн</w:t>
                  </w:r>
                  <w:r>
                    <w:rPr>
                      <w:color w:val="000000"/>
                      <w:sz w:val="28"/>
                      <w:szCs w:val="28"/>
                    </w:rPr>
                    <w:t>ости используются в полном объеме.  В учреждении своевременно проводятся диагностика, техническое обслуживание. Сохранность основных средств обеспечивается посредством их закрепления за материально-ответственными лицами и проведением инвентаризации имущест</w:t>
                  </w:r>
                  <w:r>
                    <w:rPr>
                      <w:color w:val="000000"/>
                      <w:sz w:val="28"/>
                      <w:szCs w:val="28"/>
                    </w:rPr>
                    <w:t>ва, а также за счет средств охраны, установленных в учреждениях и пожарной сигнализации.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Балансовая стоимость основных средств на конец отчетного периода составила 1 211 547 564,94 рублей, в том числе казенных учреждений 749 344 702,23 рубля.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Износ </w:t>
                  </w:r>
                  <w:r>
                    <w:rPr>
                      <w:color w:val="000000"/>
                      <w:sz w:val="28"/>
                      <w:szCs w:val="28"/>
                    </w:rPr>
                    <w:t>основных средств на 01.01.2024 составляет 70,3%,из них казенных учреждений 67,3%, бюджетных и автономного учреждений – 75,1%.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Общий объем закупок в 2023 году составил 416033,146 тыс</w:t>
                  </w:r>
                  <w:r>
                    <w:rPr>
                      <w:color w:val="B8312F"/>
                      <w:sz w:val="28"/>
                      <w:szCs w:val="28"/>
                    </w:rPr>
                    <w:t>. </w:t>
                  </w:r>
                  <w:r>
                    <w:rPr>
                      <w:color w:val="000000"/>
                      <w:sz w:val="28"/>
                      <w:szCs w:val="28"/>
                    </w:rPr>
                    <w:t>рублей, заключено 4899 контрактов.</w:t>
                  </w:r>
                </w:p>
                <w:p w:rsidR="009E6C16" w:rsidRDefault="00EA24B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Также информация  по данному разделу п</w:t>
                  </w:r>
                  <w:r>
                    <w:rPr>
                      <w:color w:val="000000"/>
                      <w:sz w:val="28"/>
                      <w:szCs w:val="28"/>
                    </w:rPr>
                    <w:t>риведена в Таблице 12 "Сведения о результатах деятельности субъекта отчетности".</w:t>
                  </w:r>
                </w:p>
              </w:tc>
            </w:tr>
          </w:tbl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E6C1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"Анализ отчета об исполнении бюджета субъектом бюджетной отчетности"</w:t>
            </w:r>
          </w:p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E6C1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9E6C16" w:rsidRDefault="00EA24B3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Образовательные организации в 2023 году принимали участие в региональных проектах, входящие в состав национального проекта «Образование». Утверждено бюджетных ассигнований в сумме 11 655 406,23 рублей, исполнено 11 299 074,04 рубля, что составляет 96,9 % 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из них:</w:t>
                  </w:r>
                </w:p>
                <w:p w:rsidR="009E6C16" w:rsidRDefault="00EA24B3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Региональный проект «Современная школа» -100%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-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Региональный проект «Цифровая образовательная среда»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-100%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-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 Региональный проект «Патриотическое воспитание граждан Российской Федерации» - 60,52%.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Подробная информация по анализу исполнения бюджета  и причины неисполнения бюджета отражены в таблице № 13 пояснительной записки. </w:t>
                  </w:r>
                </w:p>
                <w:p w:rsidR="009E6C16" w:rsidRDefault="00EA24B3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Основной причиной неполного освоения плановых назначений в рамках муниципальной программы «Развитие муниципальной системы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образования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Узловского района» является оплата расходов по фактическому начислению. Отсюда не исполнено по программе 15 052 550,70 рублей, что составляет 98,98%, что отражено в форме 0503166 «Сведения об исполнении мероприятий в рамках целевых программ». </w:t>
                  </w:r>
                </w:p>
                <w:p w:rsidR="009E6C16" w:rsidRDefault="00EA24B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На 1 января 2023 года по Сводной бюджетной росписи в сфере образования запланировано  1 530 379 556,35 рублей, из них исполнено  1 512 013 137,50 рублей, что составляет 98,80%, отражено в форме 0503164 «Сведения об исполнениях бюджета». Исполнение б</w:t>
                  </w:r>
                  <w:r>
                    <w:rPr>
                      <w:color w:val="000000"/>
                      <w:sz w:val="28"/>
                      <w:szCs w:val="28"/>
                    </w:rPr>
                    <w:t>юджетных назначений за отчетный период выше на 7% показателей аналогичного периода прошлого года.</w:t>
                  </w:r>
                </w:p>
              </w:tc>
            </w:tr>
          </w:tbl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E6C1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"Анализ показателей бухгалтерской отчетности субъекта бюджетной отчетности"</w:t>
            </w:r>
          </w:p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E6C1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9E6C16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 </w:t>
                        </w:r>
                      </w:p>
                    </w:tc>
                  </w:tr>
                </w:tbl>
                <w:p w:rsidR="009E6C16" w:rsidRDefault="009E6C1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748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48"/>
                  </w:tblGrid>
                  <w:tr w:rsidR="009E6C16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0" w:type="dxa"/>
                        </w:tcMar>
                      </w:tcPr>
                      <w:tbl>
                        <w:tblPr>
                          <w:tblOverlap w:val="never"/>
                          <w:tblW w:w="9914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914"/>
                        </w:tblGrid>
                        <w:tr w:rsidR="009E6C16">
                          <w:tc>
                            <w:tcPr>
                              <w:tcW w:w="4957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</w:tcPr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         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 соответствии с Постановление администрации МО Узловский район  от 14.10.2022 № 1983  « О передаче финансовому управлению администрации МО Узловский район отдельных полномочий»  полномочия  по ведению бухгалтерского учета. В результате чего в формах отчет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ов за аналогичный период прошлого финансового года данные отражены без МУ «ЦБ МУ» (формы 0503123,0503169), и входящие остатки на начало года были изменены, что отражено в форме 503173 «Сведения об изменении остатков валюты баланса. Также по счету 106 скорр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ектированы показатели на сумму 5 128 474,22 руб. на начало отчетного года за счет исправления ошибок прошлых лет по учреждениям (МКОУ ООШ № 29, МКОУ ЦО № 14, МКОУ ООШ № 25, МДОУ д/с № 9,МКОУ ЦО Люторический)  в результате ремонтов  все расходы отражены как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 затраты, а не отражены капитальные вложения в отдельные инвентарные объекты, установленные в ходе ремонта.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По состоянию на 01.01.2023 имеются остатки на лицевых счетах учреждений что отражено в форме 0503178 «Сведения об остатках денежных средств на счет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ах получателя бюджетных средств» и форме0503130  «Баланс главного распорядителя бюджетных средств. Более подробно информация раскрывается в таблице 13 пояснительной записки.  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По состоянию на 01.01.2024 перед учреждениями числится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дебиторская задолженность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в размере 2 229 452,23 руб.,в том числе: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по счету 205.00 в сумме 2 136 410,39 руб. – задолженность по родительской плате;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по счету 206.00 в сумме 46213,59 руб. – авансовый платеж за предоставление коммунальных услуг, подписку печатных изданий, поставк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 ГСМ;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по счету 209.00 в сумме 46 828,25 руб. доходы от возврата дебиторской задолженности прошлых лет (возврат задолженности по заработной плате).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По сравнению с дебиторской задолженностью на 01.01.2023 уменьшение произошло на 3 304 775,31 рублей, в ос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новном за счет родительской платы.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 01.01.2024 просроченная дебиторская задолженность отсутствует.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По состоянию на 01.01.2024 за учреждениями числится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кредиторская задолженность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в размере 25 790 267,31 руб., в том числе: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по счету 205.00 в сумме 4 072 1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17,75 руб. –  переплата по родительской плате (образовавшаяся за счет внесения предоплаты);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по счету 302.00 в сумме 18 910 993,93 руб. – задолженность за услуги связи, коммунальные услуги, услуги по содержанию имущества, прочие услуги, основные средства, поставку материальных ресурсов;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по счету 303.00 в сумме 2 768 594,37 руб. – задолженность по оплате страховых взносов в пенсионный фонд.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 по счету 304.00 в сумме 38 561,26 руб. – задолженность по удержаниям их з/платы.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По сравнению с кредиторской задолженностью на 01.01.2023 уменьшени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е произошло на 4 127 166,99 рублей, в основном за счет снижения задолженности по страховым взносам в пенсионный фонд. 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На 01.01.2024 просроченная кредиторская задолженность отсутствует.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Остаток  средств  резерва     для оплаты отпусков (за фактически отраб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отанное время), включая страховые взносы, на 01.01.2023 составлял 82 496 868,07 руб., на 01.01.2024 сумма резерва скорректирована до 91 161 177,93 руб. Увеличение составило 8 664 309,86 руб. за счет увеличения средней заработной платы работников. Резерв на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оплату отпусков формируется ежегодно.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    В рамках внутриведомственных расчетов  между казенными учреждениями и комитетом образования  в 2023 году осуществлялась передача основных средств, материальных запасов на сумму 54 186 067,77 рублей (денежные сред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ства которые поступали в доход района за содержание детей в д/с и питание учащихся в школах). 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 рамках межведомственных расчетов  от комитета по имуществу казенным учреждениям  в 2023 году осуществлялась передача основных средств (IT-Инфраструктуры, 2 шко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льных автобуса, ограждения) на сумму 21 598 390,30 рублей и материальных запасов (медали) на сумму 1294,40 рублей от комитета по имуществу комитету образования. Комитету по имуществу от казенных учреждений передавались основные средства (школьный автобус)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  капитальные вложения в отдельные инвентарные объекты, установленные в ходе ремонта на сумму 11 719 281,17 рублей.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     В рамках межбюджетных расчетов  между министерством труда и социальной защиты ТО и комитетом образования     в 2023 году осуществлялас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ь передача путевок в оздоровительные лагеря на сумму 8 122 458,00 рублей.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Все расчеты отражены в форме 0503125 «Справка по консолидируемым расчетам».</w:t>
                              </w:r>
                            </w:p>
                            <w:p w:rsidR="009E6C16" w:rsidRDefault="00EA24B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    В 2023 году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доходы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полученные от бюджетной деятельности казенных учреждений составляют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64 928 014,16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ублей, в том числе КОСГУ:</w:t>
                              </w:r>
                            </w:p>
                            <w:p w:rsidR="009E6C16" w:rsidRDefault="009E6C16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Overlap w:val="never"/>
                                <w:tblW w:w="4557" w:type="dxa"/>
                                <w:tblBorders>
                                  <w:top w:val="single" w:sz="0" w:space="0" w:color="000000"/>
                                  <w:left w:val="single" w:sz="0" w:space="0" w:color="000000"/>
                                  <w:bottom w:val="single" w:sz="0" w:space="0" w:color="000000"/>
                                  <w:right w:val="single" w:sz="0" w:space="0" w:color="000000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278"/>
                                <w:gridCol w:w="2279"/>
                              </w:tblGrid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131 – 56 106 155,08 руб. 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>(доходы     по начислению родительской платы)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134 – 66 434,10 руб.  (доходы по восстановлению расходов по ФСС на аттестацию рабочих мест)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141 – 385 751,67 руб. (доходы от     штрафных санкций за нарушение 44 ФЗ)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154 – 35 000,00 руб.(доходы полученные в виде грантов от муниципалитета)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155 – 18 962,00 руб. (доходы в виде пожертвований)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172 –  - 25 636 706,03 руб. (доход от расчетов с 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учредителем, отрицательный, т. к. было передано имущество и земельный участок от МБОУ ДЮСШ в казну, для дальнейшей передачи в спортивный комплекс)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173 - - 93522,12 руб. (доход от списания задолженности с истекшим сроком 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взыскания по заработной плате, ко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ммунальным услугам)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174 -   -128413,85 руб. (доход от списания пеней по контрактам, в соответствии с законодательной процедурой списания)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176 – 2 790 261,08 руб. (доходы от увеличения кадастровой стоимости земли)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189 – 8 122 458,0 руб. (доходы в виде безвозмездно полученных путевок в оздоровительные лагеря)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191 – 1294,40 руб. (доходы полученные в виде безвозмездно полученных медалей)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195 – 21 621 990,30 руб. (доходы  в виде безвозмездно полученных ОС - IT-Инф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раструктуры  на сумму 21 598 390,30 руб. и спортинвентаря от бюджетного учреждения ДООЦ на сумму 23600,00) </w:t>
                                    </w:r>
                                  </w:p>
                                </w:tc>
                              </w:tr>
                              <w:tr w:rsidR="009E6C16">
                                <w:tc>
                                  <w:tcPr>
                                    <w:tcW w:w="2278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2279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9E6C16" w:rsidRDefault="00EA24B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199 – 1 638 359,53 руб. (доходы в виде безвозмездно полученного имущества от сторонних лиц (родительские комитеты в образовательных учреждениях).</w:t>
                                    </w:r>
                                  </w:p>
                                </w:tc>
                              </w:tr>
                            </w:tbl>
                            <w:p w:rsidR="009E6C16" w:rsidRDefault="009E6C16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  В форме 0503121 «Отчет о финансовых результатах деятельности» по строке 090 графы 4 и 6 КОСГУ 170 отражено отрицательное значение -23 068 380,92 руб., а также по КОСГУ 172 – 25 636 706,03 руб.и КОСГУ 173 – 93 522,12 руб. Отрицательные значения показателе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й образовались за счет передачи, было передано имущество и земельный участок от МБОУ ДЮСШ в казну, для дальней шей передачи в спортивный комплекс   и списания задолженности с истекшим сроком взыскания по заработной плате, коммунальным услугам.</w:t>
                        </w:r>
                      </w:p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Увеличение и уменьшение стоимости основных средств в строках 321 и 322 формы 0503121 не соответствует идентичному показателю в графе 5 формы 0503168 на 5 513 560,44 руб. Отклонение образовано за счет входящих остатков по счету 106.00 на начало года.</w:t>
                        </w:r>
                      </w:p>
                    </w:tc>
                  </w:tr>
                </w:tbl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    </w:t>
                  </w:r>
                  <w:r>
                    <w:rPr>
                      <w:color w:val="000000"/>
                      <w:sz w:val="28"/>
                      <w:szCs w:val="28"/>
                    </w:rPr>
                    <w:t>    По форме 0503168 «Сведения о движении нефинансовых активов» в графе 7 отражено безвозмездное поступление нефинансовых активов  на сумму 23 383 792,82 руб., а именно:</w:t>
                  </w:r>
                </w:p>
                <w:p w:rsidR="009E6C16" w:rsidRDefault="009E6C1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9834"/>
                  </w:tblGrid>
                  <w:tr w:rsidR="009E6C16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Основные средства на сумму 22 248 719,30 руб.</w:t>
                        </w:r>
                      </w:p>
                    </w:tc>
                  </w:tr>
                  <w:tr w:rsidR="009E6C16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Материальные запасы – 1 135 072,52 руб. </w:t>
                        </w:r>
                      </w:p>
                    </w:tc>
                  </w:tr>
                </w:tbl>
                <w:p w:rsidR="009E6C16" w:rsidRDefault="00EA24B3">
                  <w:pPr>
                    <w:ind w:left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Данное безвозмездное поступление произведено за счет родительских комитетов, внутриведомственных и межведомственных  расчетов от бюджетного учреждения (винтовок в рамках мероприятия «ЩИТ и МЕЧ» победителям в МКОУ </w:t>
                  </w:r>
                  <w:r>
                    <w:rPr>
                      <w:color w:val="000000"/>
                      <w:sz w:val="28"/>
                      <w:szCs w:val="28"/>
                    </w:rPr>
                    <w:t>СОШ № 3 и МКОУ СОШ № 9)  на общую сумму 23 261 644,23 руб., что отражено в справке 0503110 , а также  внутренние расчеты между казенными учреждениями  на сумму 122 148,59 руб. (передача аттестатов  на сумму 72172,19 руб., передача из ЦО Краснолесский ЦО Ак</w:t>
                  </w:r>
                  <w:r>
                    <w:rPr>
                      <w:color w:val="000000"/>
                      <w:sz w:val="28"/>
                      <w:szCs w:val="28"/>
                    </w:rPr>
                    <w:t>им-Ильинский кроваток, ковра, матрацев на сумму 49976,40 руб.), что   отражено в справке 0503125 </w:t>
                  </w:r>
                  <w:r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  <w:p w:rsidR="009E6C16" w:rsidRDefault="00EA24B3">
                  <w:pPr>
                    <w:ind w:left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графе 9 формы 0503168 «Сведения о движении нефинансовых активов» отражено безвозмездная передача нефинансовых активов на сумму 11 841 429,76 руб., в том чи</w:t>
                  </w:r>
                  <w:r>
                    <w:rPr>
                      <w:color w:val="000000"/>
                      <w:sz w:val="28"/>
                      <w:szCs w:val="28"/>
                    </w:rPr>
                    <w:t>сле:</w:t>
                  </w:r>
                </w:p>
                <w:p w:rsidR="009E6C16" w:rsidRDefault="009E6C1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9834"/>
                  </w:tblGrid>
                  <w:tr w:rsidR="009E6C16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Основные средства по остаточной стоимости 3943,54 руб. (ЦО № 12 передача автобуса и тахографа на сумму 3943,54 руб.,  и кроваток от ЦО Краснолесский ЦО Аким-Ильинский на сумму 49510,0 руб.)</w:t>
                        </w:r>
                      </w:p>
                    </w:tc>
                  </w:tr>
                  <w:tr w:rsidR="009E6C16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Вложение в основные средства на сумму 11 715 337,63 руб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 (ограждения)</w:t>
                        </w:r>
                      </w:p>
                    </w:tc>
                  </w:tr>
                  <w:tr w:rsidR="009E6C16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Материальные запасы на сумму 72638,59 руб.  (аттестаты и матрацы)</w:t>
                        </w:r>
                      </w:p>
                    </w:tc>
                  </w:tr>
                </w:tbl>
                <w:p w:rsidR="009E6C16" w:rsidRDefault="00EA24B3">
                  <w:pPr>
                    <w:ind w:left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Данная безвозмездная передача произведена в рамках межведомственных  расчетов   на сумму 11 719 281,17 руб. также  внутренние расчеты между казенными учреждениями  на сумм</w:t>
                  </w:r>
                  <w:r>
                    <w:rPr>
                      <w:color w:val="000000"/>
                      <w:sz w:val="28"/>
                      <w:szCs w:val="28"/>
                    </w:rPr>
                    <w:t>у 122 148,59 руб., что  отражено в справке 0503125.</w:t>
                  </w:r>
                </w:p>
                <w:p w:rsidR="009E6C16" w:rsidRDefault="00EA24B3">
                  <w:pPr>
                    <w:ind w:left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результате проведенных проверок  выявлены недостачи по продуктам питания в столовых учреждений на сумму 73026,90 руб., это отражено в графе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10 формы 0503168.</w:t>
                  </w:r>
                </w:p>
              </w:tc>
            </w:tr>
          </w:tbl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E6C1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"Прочие вопросы деятельности субъекта бюджетной отчетности"</w:t>
            </w:r>
          </w:p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E6C1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Показатели бухгалтерской (финансовой) отчетности сформированы исходя из нормативных правовых актов, регулирующих ведение бухгалтерского учета и составление бухгалтерской (финансовой) от</w:t>
                  </w:r>
                  <w:r>
                    <w:rPr>
                      <w:color w:val="000000"/>
                      <w:sz w:val="28"/>
                      <w:szCs w:val="28"/>
                    </w:rPr>
                    <w:t>четности.</w:t>
                  </w:r>
                </w:p>
                <w:p w:rsidR="009E6C16" w:rsidRDefault="00EA24B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События после отчетной даты до представления бюджетной отчетности за 2023 год у учреждений не возникало.      </w:t>
                  </w:r>
                </w:p>
                <w:p w:rsidR="009E6C16" w:rsidRDefault="00EA24B3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Сведения о принятых и исполненных денежных обязательствах по судебным решениям и исполнительным документам отражены в фор</w:t>
                  </w:r>
                  <w:r>
                    <w:rPr>
                      <w:color w:val="000000"/>
                      <w:sz w:val="28"/>
                      <w:szCs w:val="28"/>
                    </w:rPr>
                    <w:t>ме 0503296.</w:t>
                  </w:r>
                </w:p>
                <w:p w:rsidR="009E6C16" w:rsidRDefault="00EA24B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Перед составлением бюджетной отчетности за 2023 год проведена инвентаризация нефинансовых активов, о чем отражено в таблице 16 пояснительной записки. Также имеется информация по формам  отчетности, не включенных в состав бюджетной отчетнос</w:t>
                  </w:r>
                  <w:r>
                    <w:rPr>
                      <w:color w:val="000000"/>
                      <w:sz w:val="28"/>
                      <w:szCs w:val="28"/>
                    </w:rPr>
                    <w:t>ти за отчетный период ввиду отсутствия числовых значений показателей.</w:t>
                  </w:r>
                </w:p>
                <w:p w:rsidR="009E6C16" w:rsidRDefault="00EA24B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В соответствии с приказом комитета образования № 249-д от 28.12.2023 " О проведении внутреннего финансового аудита в комитете образования администрации муниципального образования Уз</w:t>
                  </w:r>
                  <w:r>
                    <w:rPr>
                      <w:color w:val="000000"/>
                      <w:sz w:val="28"/>
                      <w:szCs w:val="28"/>
                    </w:rPr>
                    <w:t>ловский район за 2023 год" проведен внутренний финансовый аудит бюджетной консолидированной отчетности комитета образования.</w:t>
                  </w:r>
                </w:p>
              </w:tc>
            </w:tr>
          </w:tbl>
          <w:p w:rsidR="009E6C16" w:rsidRDefault="00EA24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6C1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</w:tbl>
    <w:p w:rsidR="009E6C16" w:rsidRDefault="009E6C16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9E6C1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E6C1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E6C1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Генералова Марина Михайловна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9E6C1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6C16" w:rsidRDefault="00EA24B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E6C1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6C16" w:rsidRDefault="009E6C16">
                  <w:pPr>
                    <w:spacing w:line="1" w:lineRule="auto"/>
                  </w:pPr>
                </w:p>
              </w:tc>
            </w:tr>
            <w:tr w:rsidR="009E6C1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9E6C1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r>
                          <w:rPr>
                            <w:color w:val="000000"/>
                          </w:rPr>
                          <w:t>Сертификат: 00F491142FEEED95500A7B814AEBBD8DF2</w:t>
                        </w:r>
                      </w:p>
                      <w:p w:rsidR="009E6C16" w:rsidRDefault="00EA24B3">
                        <w:r>
                          <w:rPr>
                            <w:color w:val="000000"/>
                          </w:rPr>
                          <w:t>Владелец: Генералова Марина Михайловна</w:t>
                        </w:r>
                      </w:p>
                      <w:p w:rsidR="009E6C16" w:rsidRDefault="00EA24B3">
                        <w:r>
                          <w:rPr>
                            <w:color w:val="000000"/>
                          </w:rPr>
                          <w:t>Действителен с 02.05.2023 по 25.07.2024</w:t>
                        </w:r>
                      </w:p>
                    </w:tc>
                  </w:tr>
                </w:tbl>
                <w:p w:rsidR="009E6C16" w:rsidRDefault="009E6C16">
                  <w:pPr>
                    <w:spacing w:line="1" w:lineRule="auto"/>
                  </w:pPr>
                </w:p>
              </w:tc>
            </w:tr>
            <w:tr w:rsidR="009E6C1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E6C1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r>
                    <w:rPr>
                      <w:color w:val="000000"/>
                      <w:sz w:val="28"/>
                      <w:szCs w:val="28"/>
                    </w:rPr>
                    <w:t>Начальник экономического отдела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E6C1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Тихомирова Татьяна Николаевна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9E6C1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6C16" w:rsidRDefault="00EA24B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E6C1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6C16" w:rsidRDefault="009E6C16">
                  <w:pPr>
                    <w:spacing w:line="1" w:lineRule="auto"/>
                  </w:pPr>
                </w:p>
              </w:tc>
            </w:tr>
            <w:tr w:rsidR="009E6C1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9E6C1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r>
                          <w:rPr>
                            <w:color w:val="000000"/>
                          </w:rPr>
                          <w:t>Сертификат: 00A2EFF281D5460C8C106002F042671B0F</w:t>
                        </w:r>
                      </w:p>
                      <w:p w:rsidR="009E6C16" w:rsidRDefault="00EA24B3">
                        <w:r>
                          <w:rPr>
                            <w:color w:val="000000"/>
                          </w:rPr>
                          <w:t>Владелец: Тихомирова Татьяна Николаевна</w:t>
                        </w:r>
                      </w:p>
                      <w:p w:rsidR="009E6C16" w:rsidRDefault="00EA24B3">
                        <w:r>
                          <w:rPr>
                            <w:color w:val="000000"/>
                          </w:rPr>
                          <w:t>Действителен с 16.02.2023 по 11.05.2024</w:t>
                        </w:r>
                      </w:p>
                    </w:tc>
                  </w:tr>
                </w:tbl>
                <w:p w:rsidR="009E6C16" w:rsidRDefault="009E6C16">
                  <w:pPr>
                    <w:spacing w:line="1" w:lineRule="auto"/>
                  </w:pPr>
                </w:p>
              </w:tc>
            </w:tr>
            <w:tr w:rsidR="009E6C1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E6C1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r>
                    <w:rPr>
                      <w:color w:val="000000"/>
                      <w:sz w:val="28"/>
                      <w:szCs w:val="28"/>
                    </w:rPr>
                    <w:t>Начальник экономического отдела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E6C1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Тихомирова Татьяна Николаевна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9E6C1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6C16" w:rsidRDefault="00EA24B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9E6C1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6C16" w:rsidRDefault="009E6C16">
                  <w:pPr>
                    <w:spacing w:line="1" w:lineRule="auto"/>
                  </w:pPr>
                </w:p>
              </w:tc>
            </w:tr>
            <w:tr w:rsidR="009E6C1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9E6C1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E6C16" w:rsidRDefault="00EA24B3">
                        <w:r>
                          <w:rPr>
                            <w:color w:val="000000"/>
                          </w:rPr>
                          <w:t>Сертификат: 00A2EFF281D5460C8C106002F042671B0F</w:t>
                        </w:r>
                      </w:p>
                      <w:p w:rsidR="009E6C16" w:rsidRDefault="00EA24B3">
                        <w:r>
                          <w:rPr>
                            <w:color w:val="000000"/>
                          </w:rPr>
                          <w:t>Владелец: Тихомирова Татьяна Николаевна</w:t>
                        </w:r>
                      </w:p>
                      <w:p w:rsidR="009E6C16" w:rsidRDefault="00EA24B3">
                        <w:r>
                          <w:rPr>
                            <w:color w:val="000000"/>
                          </w:rPr>
                          <w:t>Действителен с 16.02.2023 по 11.05.2024</w:t>
                        </w:r>
                      </w:p>
                    </w:tc>
                  </w:tr>
                </w:tbl>
                <w:p w:rsidR="009E6C16" w:rsidRDefault="009E6C16">
                  <w:pPr>
                    <w:spacing w:line="1" w:lineRule="auto"/>
                  </w:pPr>
                </w:p>
              </w:tc>
            </w:tr>
            <w:tr w:rsidR="009E6C1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9E6C16">
                  <w:pPr>
                    <w:spacing w:line="1" w:lineRule="auto"/>
                  </w:pP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9E6C16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r>
                    <w:rPr>
                      <w:color w:val="000000"/>
                      <w:sz w:val="28"/>
                      <w:szCs w:val="28"/>
                    </w:rPr>
                    <w:t>29 января 2024 г.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</w:tbl>
    <w:p w:rsidR="009E6C16" w:rsidRDefault="009E6C16">
      <w:pPr>
        <w:sectPr w:rsidR="009E6C16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9E6C16" w:rsidRDefault="009E6C16">
      <w:pPr>
        <w:rPr>
          <w:vanish/>
        </w:rPr>
      </w:pPr>
      <w:bookmarkStart w:id="4" w:name="__bookmark_7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  <w:gridCol w:w="56"/>
        <w:gridCol w:w="831"/>
        <w:gridCol w:w="831"/>
        <w:gridCol w:w="831"/>
        <w:gridCol w:w="56"/>
        <w:gridCol w:w="56"/>
        <w:gridCol w:w="831"/>
        <w:gridCol w:w="831"/>
        <w:gridCol w:w="831"/>
        <w:gridCol w:w="66"/>
      </w:tblGrid>
      <w:tr w:rsidR="009E6C16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101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9E6C16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1 00003000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Условная оценка: один бланк, один рубль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9E6C16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1 00021000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 введенного в эксплуатацию объекта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9E6C16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9E6C16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9E6C16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6C16" w:rsidRDefault="00EA24B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  <w:tr w:rsidR="009E6C16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</w:tbl>
    <w:p w:rsidR="009E6C16" w:rsidRDefault="009E6C16">
      <w:pPr>
        <w:sectPr w:rsidR="009E6C16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9E6C16" w:rsidRDefault="009E6C16">
      <w:pPr>
        <w:rPr>
          <w:vanish/>
        </w:rPr>
      </w:pPr>
      <w:bookmarkStart w:id="5" w:name="__bookmark_9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№11</w:t>
            </w:r>
          </w:p>
        </w:tc>
      </w:tr>
      <w:tr w:rsidR="009E6C16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организационной структуре субъекта бюджетной отчетности</w:t>
            </w:r>
          </w:p>
        </w:tc>
      </w:tr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основание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в пределах места нахождения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301600, Тульская область, Узловский район, г. Узловая, ул. Кирова, д. 25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Организационно-правовая форма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75404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ОКОПФ ОК 028-2012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наименования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основных нормативных правовых актов, регламентирующих деятельность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Решение собрания представителей от 20.05.2013 № 74-461 «Об утверждении Положени</w:t>
            </w:r>
            <w:r>
              <w:rPr>
                <w:i/>
                <w:iCs/>
                <w:color w:val="000000"/>
                <w:sz w:val="28"/>
                <w:szCs w:val="28"/>
              </w:rPr>
              <w:t>я о комитете образования администрации муниципального образования Узловский район» с изменениями от 15.11.2023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органа, осуществляющего внешний государственный (муниципальный) финансовый контроль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контрольно-счетная палата муниципального образования Узловский район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деятельности субъекта отчетности, созданного на определенный срок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и </w:t>
            </w:r>
            <w:r>
              <w:rPr>
                <w:color w:val="000000"/>
                <w:sz w:val="28"/>
                <w:szCs w:val="28"/>
              </w:rPr>
              <w:lastRenderedPageBreak/>
              <w:t>место публикации отчета, содержащего информацию о результатах исполнения бюджетной сметы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Приказ Минфина РФ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от 21.07.2011 № 86-н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bus.gov.ru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Наличие государственных</w:t>
            </w:r>
            <w:r>
              <w:rPr>
                <w:color w:val="000000"/>
                <w:sz w:val="28"/>
                <w:szCs w:val="28"/>
              </w:rPr>
              <w:t xml:space="preserve"> (муниципальных) унитарных и казенных предприятий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количества государственных (муниципальных) унитарных и казенных предприятий, произошедшие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Постановление администрации МО Узловский район  от 14.10.2022 № 1983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передача полномочий по ведению бухгалтерского учета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состава бюджетных полномочий, произошедшее в отчетном периоде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Состав бюджетных полномочий ГРБС, ГАД не менялся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</w:t>
            </w:r>
            <w:r>
              <w:rPr>
                <w:color w:val="000000"/>
                <w:sz w:val="28"/>
                <w:szCs w:val="28"/>
              </w:rPr>
              <w:t>дача полномочий по ведению бюджетного учета иному учреждению (централизованной бухгалтерии)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б/н от 09.01.2023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Полномочия по ведению бухгалтерского учета комитета переданы  МУ "ЦБ МУ", договор на оказанию услуг по бухгалтерскому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обслуживанию.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включая обязательства, оспариваемые в суде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информация, характеризующая показатели деятельности реорганизуемого (преобразуемого)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Общероссийский классификатор организационно-правовых форм ОК 028-2012</w:t>
            </w:r>
          </w:p>
        </w:tc>
      </w:tr>
    </w:tbl>
    <w:p w:rsidR="009E6C16" w:rsidRDefault="009E6C16">
      <w:pPr>
        <w:sectPr w:rsidR="009E6C16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9E6C16" w:rsidRDefault="009E6C16">
      <w:pPr>
        <w:rPr>
          <w:vanish/>
        </w:rPr>
      </w:pPr>
      <w:bookmarkStart w:id="6" w:name="__bookmark_10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2097"/>
        <w:gridCol w:w="979"/>
      </w:tblGrid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307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№12</w:t>
            </w:r>
          </w:p>
        </w:tc>
      </w:tr>
      <w:tr w:rsidR="009E6C16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деятельности субъекта бюджетной отчетности</w:t>
            </w:r>
          </w:p>
        </w:tc>
      </w:tr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и остаточная стоимости временно неэксплуатируемых (неиспользуемых) объектов основных средств,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стоимость объектов основных средств, находящихся в эксплуатации и имеющих нулевую остаточную стоимос</w:t>
            </w:r>
            <w:r>
              <w:rPr>
                <w:i/>
                <w:iCs/>
                <w:color w:val="000000"/>
                <w:sz w:val="28"/>
                <w:szCs w:val="28"/>
              </w:rPr>
              <w:t>ть,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522117,648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балансовая и остаточная стоимости объектов основных средств, изъятых из эксплуатации или удерживаемых до их выбытия,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техническое состояние, эффективность использования, обеспеченность учреждения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Рабочее место каждого сотрудника технически оборудовано компьютерной техникой с доступом в Интернет.</w:t>
            </w:r>
            <w:r>
              <w:rPr>
                <w:color w:val="000000"/>
                <w:sz w:val="28"/>
                <w:szCs w:val="28"/>
              </w:rPr>
              <w:br/>
              <w:t>Техническое состояние основных фондов удовлетворительное. Между тем имеется п</w:t>
            </w:r>
            <w:r>
              <w:rPr>
                <w:color w:val="000000"/>
                <w:sz w:val="28"/>
                <w:szCs w:val="28"/>
              </w:rPr>
              <w:t>отребность в замене устаревшего компьютерного оборудования, устаревшей мебели на новую в соответствии с требованиями СанПиН.</w:t>
            </w:r>
            <w:r>
              <w:rPr>
                <w:color w:val="000000"/>
                <w:sz w:val="28"/>
                <w:szCs w:val="28"/>
              </w:rPr>
              <w:br/>
              <w:t xml:space="preserve">Основным фактором повышения эффективного использования основных средств является своевременное их </w:t>
            </w:r>
            <w:r>
              <w:rPr>
                <w:color w:val="000000"/>
                <w:sz w:val="28"/>
                <w:szCs w:val="28"/>
              </w:rPr>
              <w:lastRenderedPageBreak/>
              <w:t>обновление.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фонды субъе</w:t>
            </w:r>
            <w:r>
              <w:rPr>
                <w:color w:val="000000"/>
                <w:sz w:val="28"/>
                <w:szCs w:val="28"/>
              </w:rPr>
              <w:t>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основные мероприятия по улучшению состояния и сохранности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учреждениях проводится диагностика, техническое обслуживание, ремонт основных средств.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фонды субъекта отчетности (его структурных подра</w:t>
            </w:r>
            <w:r>
              <w:rPr>
                <w:color w:val="000000"/>
                <w:sz w:val="28"/>
                <w:szCs w:val="28"/>
              </w:rPr>
              <w:t>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характеристика комплектности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представлена комплектом на каждом рабочем месте, в него входит: компьютер, монитор и принтер, который используется как с локальным подключением, так и с сетевым подключением.</w:t>
            </w:r>
          </w:p>
        </w:tc>
      </w:tr>
      <w:tr w:rsidR="009E6C16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</w:tbl>
    <w:p w:rsidR="009E6C16" w:rsidRDefault="009E6C16">
      <w:pPr>
        <w:sectPr w:rsidR="009E6C16">
          <w:headerReference w:type="default" r:id="rId13"/>
          <w:footerReference w:type="default" r:id="rId14"/>
          <w:pgSz w:w="11905" w:h="16837"/>
          <w:pgMar w:top="1133" w:right="566" w:bottom="1133" w:left="1133" w:header="1133" w:footer="1133" w:gutter="0"/>
          <w:cols w:space="720"/>
        </w:sectPr>
      </w:pPr>
    </w:p>
    <w:p w:rsidR="009E6C16" w:rsidRDefault="009E6C16">
      <w:pPr>
        <w:rPr>
          <w:vanish/>
        </w:rPr>
      </w:pPr>
      <w:bookmarkStart w:id="7" w:name="__bookmark_11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№13</w:t>
            </w:r>
          </w:p>
        </w:tc>
      </w:tr>
      <w:tr w:rsidR="009E6C16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отчета об исполнении бюджета субъектом бюджетной отчетности</w:t>
            </w:r>
          </w:p>
        </w:tc>
      </w:tr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</w:t>
            </w: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об исполнении бюджета (ф.0503127): причины отклонения суммы 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 графе 4 по строке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010 «Доходы» отражены годовые плановые показатели по доходам, на отчетный финансовый 2023 год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в сумме 58 094 554,68 рублей, а в ходе исполнения доходной части бюджета 2023 года, исполнение составило 95,45%, а именно 55 450 650,64 рубля. Данное исполнение </w:t>
            </w:r>
            <w:r>
              <w:rPr>
                <w:i/>
                <w:iCs/>
                <w:color w:val="000000"/>
                <w:sz w:val="28"/>
                <w:szCs w:val="28"/>
              </w:rPr>
              <w:t>подтверждается соответствующими показателями,указанными в форме 0503164 «Сведения об исполнении бюджета».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Неисполнение доходной части бюджета произошло, из-за того, что перечисление родительской платы осуществляется с учетом фактического посещения детей об</w:t>
            </w:r>
            <w:r>
              <w:rPr>
                <w:i/>
                <w:iCs/>
                <w:color w:val="000000"/>
                <w:sz w:val="28"/>
                <w:szCs w:val="28"/>
              </w:rPr>
              <w:t>разовательных учреждений,а посещаемость детей за 2023 год составила - 67 %.</w:t>
            </w: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Кассовое исполнение средств в рамках реализации мероприятия «Проведение мероприятий по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 за 2023 год составляет 60,52%. Данная ситуация сложилась в связи с тем, что, применение персональных по</w:t>
            </w:r>
            <w:r>
              <w:rPr>
                <w:i/>
                <w:iCs/>
                <w:color w:val="000000"/>
                <w:sz w:val="28"/>
                <w:szCs w:val="28"/>
              </w:rPr>
              <w:t>вышающих коэффициентов для введенных новых ставок с 01.09.2023 советников директоров по воспитанию не представляется возможным, в связи с тем, что опыт работы в данной должности не большой, чтобы оценить уровень профессиональной подготовки, степень самосто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ятельности, сложности и важности  выполняемой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работы. А также сотрудники, занимающие должности советников директоров по воспитанию в отчетном периоде находились  в отпусках по ЧАЭС, в двух учреждениях в течение 1 месяца данная должность находилась на вакан</w:t>
            </w:r>
            <w:r>
              <w:rPr>
                <w:i/>
                <w:iCs/>
                <w:color w:val="000000"/>
                <w:sz w:val="28"/>
                <w:szCs w:val="28"/>
              </w:rPr>
              <w:t>сии. В связи с этим фактически начисленная заработная плата советников директоров по воспитанию исполнена на сумму 543138,69 рублей за период с сентября по декабрь 2023 года, что составляет 60,52 % от запланированной суммы.</w:t>
            </w: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Сведения об исполнении бюджета </w:t>
            </w:r>
            <w:r>
              <w:rPr>
                <w:color w:val="000000"/>
                <w:sz w:val="28"/>
                <w:szCs w:val="28"/>
              </w:rPr>
              <w:t>(ф.0503164):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Исполнение мероприятий в рамках проекта "Народный бюджет" по дошкольным образовательным организациям составляет 83,36%, по общеобразовательным организациям - 84,54 % и по органи</w:t>
            </w:r>
            <w:r>
              <w:rPr>
                <w:i/>
                <w:iCs/>
                <w:color w:val="000000"/>
                <w:sz w:val="28"/>
                <w:szCs w:val="28"/>
              </w:rPr>
              <w:t>зациям дополнительного образования  - 91,33%.Работы на объектах выполнены в полном объеме. За счет экономии от фактически выполненных работ сложился такой процент исполнения мероприятия.</w:t>
            </w: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 2023 году в рамках Регионального проекта «Современная школа» (Точка роста ЦО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Федоровский) запланировано и исполнено мероприятие  по оснащению оборудованием, средствами обучения и воспитания общеобразовательных организаций на сумму  1 481 282,73 рублей, что составляет 100 %.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Для оснащения Точки роста приобретено оборудования в МКОУ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«Центр образования Федоровский»: компьютерное оборудование, МФУ, цифровые лаборатории, демонстрационное оборудование. Оборудование поставлено в полном объеме.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В рамках Регионального проекта «Цифровая образовательная среда» (ЦО Люторический, МКОУ СОШ № 27,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ЦО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Краснолесский) запланировано и исполнено мероприятие по обновлению материально-технической базы образовательных организаций для внедрения цифровой образовательной среды и развития цифровых навыков обучающихся на сумму 9 276 652,62 рубля, что составляет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100 %.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В рамках проекта приобретено оборудование для  МКОУ СОШ № 27,  МКОУ ЦО Люторический, МКОУ ЦО Краснолесский: ноутбуки, МФУ, телевизоры,  видеокамеры, тележки-хранилища с системой подзарядки. Оборудование поставлено в полном объеме. 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В рамках Региона</w:t>
            </w:r>
            <w:r>
              <w:rPr>
                <w:i/>
                <w:iCs/>
                <w:color w:val="000000"/>
                <w:sz w:val="28"/>
                <w:szCs w:val="28"/>
              </w:rPr>
              <w:t>льного проект «Патриотическое воспитание граждан Российской Федерации»  запланировано мероприятие по обеспечению деятельности советников директора по воспитанию и взаимодействия с детскими общественными объединениями в сумме 897 470,88 руб. Исполнение данн</w:t>
            </w:r>
            <w:r>
              <w:rPr>
                <w:i/>
                <w:iCs/>
                <w:color w:val="000000"/>
                <w:sz w:val="28"/>
                <w:szCs w:val="28"/>
              </w:rPr>
              <w:t>ого проекта началось с сентября 2023 года и по итогам года составило 60,52 %, а именно 542138,69 рублей.Это фактически начисленная заработная плата советников директоров по воспитанию за период с сентября по декабрь 2023 года</w:t>
            </w: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Информация о принятии денежны</w:t>
            </w:r>
            <w:r>
              <w:rPr>
                <w:color w:val="000000"/>
                <w:sz w:val="28"/>
                <w:szCs w:val="28"/>
              </w:rPr>
              <w:t>х обязательств сверх 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по обобщенным данным об операциях по управлению остатками средств на едином счете соответствую</w:t>
            </w:r>
            <w:r>
              <w:rPr>
                <w:color w:val="000000"/>
                <w:sz w:val="28"/>
                <w:szCs w:val="28"/>
              </w:rPr>
              <w:t xml:space="preserve">щего бюджета </w:t>
            </w:r>
            <w:r>
              <w:rPr>
                <w:color w:val="000000"/>
                <w:sz w:val="28"/>
                <w:szCs w:val="28"/>
              </w:rPr>
              <w:lastRenderedPageBreak/>
              <w:t>за отчетный период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 ФУ администрации МО Узловский район казенным учреждениям, подведомственным комитету образования открыты :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- лицевые счета получателей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бюджетных средств,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- лицевые счета для отражения операций со средствами, поступающим</w:t>
            </w:r>
            <w:r>
              <w:rPr>
                <w:i/>
                <w:iCs/>
                <w:color w:val="000000"/>
                <w:sz w:val="28"/>
                <w:szCs w:val="28"/>
              </w:rPr>
              <w:t>и во временное распоряжение получателя бюджетных средств.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 На начало отчетного года остаток средств на счетах составлял 839296,43 руб., а на конец 2023 года составил 526295,05 руб., остаток уменьшился на 37,7 %.Остаток средств на лицевых счетах образовался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за счет полученного обеспечения контрактов при проведении конкурентных процедур.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Банковских счетов в кредитных организациях учреждения не имеют.</w:t>
            </w:r>
          </w:p>
        </w:tc>
      </w:tr>
      <w:tr w:rsidR="009E6C16"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</w:tbl>
    <w:p w:rsidR="009E6C16" w:rsidRDefault="009E6C16">
      <w:pPr>
        <w:sectPr w:rsidR="009E6C16">
          <w:headerReference w:type="default" r:id="rId15"/>
          <w:footerReference w:type="default" r:id="rId16"/>
          <w:pgSz w:w="11905" w:h="16837"/>
          <w:pgMar w:top="1133" w:right="566" w:bottom="1133" w:left="1133" w:header="1133" w:footer="1133" w:gutter="0"/>
          <w:cols w:space="720"/>
        </w:sectPr>
      </w:pPr>
    </w:p>
    <w:p w:rsidR="009E6C16" w:rsidRDefault="009E6C16">
      <w:pPr>
        <w:rPr>
          <w:vanish/>
        </w:rPr>
      </w:pPr>
      <w:bookmarkStart w:id="8" w:name="__bookmark_12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559"/>
        <w:gridCol w:w="1530"/>
        <w:gridCol w:w="559"/>
        <w:gridCol w:w="559"/>
        <w:gridCol w:w="559"/>
        <w:gridCol w:w="559"/>
        <w:gridCol w:w="559"/>
        <w:gridCol w:w="559"/>
        <w:gridCol w:w="2100"/>
      </w:tblGrid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№14</w:t>
            </w:r>
          </w:p>
        </w:tc>
      </w:tr>
      <w:tr w:rsidR="009E6C16">
        <w:trPr>
          <w:trHeight w:val="322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Анализ показателей отчетности субъекта бюджетной отчетности</w:t>
            </w:r>
          </w:p>
        </w:tc>
      </w:tr>
      <w:tr w:rsidR="009E6C16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графе 7 разделов 1 и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 знаком "минус" в графах 5 - 8 раздела 1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"05 - иные причины возникновения просроченной кредиторской задолженности" раздела 2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1 графа 9 - "06 -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4 графа 7 - "03.5 -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1 графа 7 - "99 - иные </w:t>
            </w:r>
            <w:r>
              <w:rPr>
                <w:color w:val="000000"/>
                <w:sz w:val="28"/>
                <w:szCs w:val="28"/>
              </w:rPr>
              <w:lastRenderedPageBreak/>
              <w:t>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 графа 7 - "75 - иные причины"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"09 - иной статус"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7 -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Графа 8 - "28 - иное основание выбытия"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(пояснения) о некассовых операциях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9E6C1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rPr>
          <w:trHeight w:val="1"/>
        </w:trPr>
        <w:tc>
          <w:tcPr>
            <w:tcW w:w="1020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</w:tbl>
    <w:p w:rsidR="009E6C16" w:rsidRDefault="009E6C16">
      <w:pPr>
        <w:sectPr w:rsidR="009E6C16">
          <w:headerReference w:type="default" r:id="rId17"/>
          <w:footerReference w:type="default" r:id="rId18"/>
          <w:pgSz w:w="11905" w:h="16837"/>
          <w:pgMar w:top="1133" w:right="566" w:bottom="1133" w:left="1133" w:header="1133" w:footer="1133" w:gutter="0"/>
          <w:cols w:space="720"/>
        </w:sectPr>
      </w:pPr>
    </w:p>
    <w:p w:rsidR="009E6C16" w:rsidRDefault="009E6C16">
      <w:pPr>
        <w:rPr>
          <w:vanish/>
        </w:rPr>
      </w:pPr>
      <w:bookmarkStart w:id="9" w:name="__bookmark_17"/>
      <w:bookmarkEnd w:id="9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81"/>
      </w:tblGrid>
      <w:tr w:rsidR="009E6C16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383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№16</w:t>
            </w:r>
          </w:p>
        </w:tc>
      </w:tr>
      <w:tr w:rsidR="009E6C16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вопросы деятельности субъекта бюджетной отчетности</w:t>
            </w:r>
          </w:p>
        </w:tc>
      </w:tr>
      <w:tr w:rsidR="009E6C16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  <w:jc w:val="center"/>
            </w:pPr>
          </w:p>
        </w:tc>
      </w:tr>
      <w:tr w:rsidR="009E6C16">
        <w:trPr>
          <w:trHeight w:val="6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отчета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</w:tr>
      <w:tr w:rsidR="009E6C16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E6C16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Годовая инвентаризация проведена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Проведена годовая инвентаризация в соответствии с приказом МУ "ЦБ МУ" от 10.10.2023 № 175-д  "О проведении инвентаризации нефинансовых активов".Расхождения бухгалтерских данных и фактического наличия не выявлено.</w:t>
            </w:r>
          </w:p>
        </w:tc>
      </w:tr>
      <w:tr w:rsidR="009E6C16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0503296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задолженности по </w:t>
            </w:r>
            <w:r>
              <w:rPr>
                <w:color w:val="000000"/>
                <w:sz w:val="28"/>
                <w:szCs w:val="28"/>
              </w:rPr>
              <w:t>исполнительным документам и о правовом основании ее возникновения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нет</w:t>
            </w:r>
          </w:p>
        </w:tc>
      </w:tr>
      <w:tr w:rsidR="009E6C16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Корреспонденция счетов бюджетного учета, утвержденная субъектом учета (централизованной бухгалтерии)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 соответствии с учетной политикой централизованной бухгалтерии утвержденной приказом от 02.04.2012 № 7-д "Об утверждении учетной политики МУ "ЦБ МУ"</w:t>
            </w:r>
          </w:p>
        </w:tc>
      </w:tr>
      <w:tr w:rsidR="009E6C16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форм отчетности, не включенных в состав бюджетной отчетности за отчетный период ввиду отсу</w:t>
            </w:r>
            <w:r>
              <w:rPr>
                <w:color w:val="000000"/>
                <w:sz w:val="28"/>
                <w:szCs w:val="28"/>
              </w:rPr>
              <w:t>тствия числовых значений показателей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Форма 0503167 Сведения о целевых иностранных кредитах,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Форма 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</w:t>
            </w:r>
            <w:r>
              <w:rPr>
                <w:i/>
                <w:iCs/>
                <w:color w:val="000000"/>
                <w:sz w:val="28"/>
                <w:szCs w:val="28"/>
              </w:rPr>
              <w:t>рственным участием в капитале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Форма 0503190 Сведения о вложениях в объекты недвижимого имущества и незавершенного строительства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 xml:space="preserve">Форма 0503184 Справка о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суммах консолидируемых поступлений, подлежащих зачислению на счет бюджета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Форма 0503172 Сведения о госуд</w:t>
            </w:r>
            <w:r>
              <w:rPr>
                <w:i/>
                <w:iCs/>
                <w:color w:val="000000"/>
                <w:sz w:val="28"/>
                <w:szCs w:val="28"/>
              </w:rPr>
              <w:t>арственном (муниципальном) долге, предоставленных бюджетных кредитах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Таблица 1 Сведения о направлениях деятельности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Таблица 3 Сведения об исполнении текстовых статей закона о бюджете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Таблица 6 Сведения о проведении инвентаризаций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Таблица 14 Анализ показате</w:t>
            </w:r>
            <w:r>
              <w:rPr>
                <w:i/>
                <w:iCs/>
                <w:color w:val="000000"/>
                <w:sz w:val="28"/>
                <w:szCs w:val="28"/>
              </w:rPr>
              <w:t>лей отчетности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  <w:t>Таблица 15 Причины увеличения просроченной задолженности</w:t>
            </w:r>
          </w:p>
        </w:tc>
      </w:tr>
      <w:tr w:rsidR="009E6C16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EA2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E6C16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C16" w:rsidRDefault="009E6C16">
            <w:pPr>
              <w:spacing w:line="1" w:lineRule="auto"/>
            </w:pPr>
          </w:p>
        </w:tc>
      </w:tr>
    </w:tbl>
    <w:p w:rsidR="00EA24B3" w:rsidRDefault="00EA24B3"/>
    <w:sectPr w:rsidR="00EA24B3" w:rsidSect="009E6C16">
      <w:headerReference w:type="default" r:id="rId19"/>
      <w:footerReference w:type="default" r:id="rId20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B3" w:rsidRDefault="00EA24B3" w:rsidP="009E6C16">
      <w:r>
        <w:separator/>
      </w:r>
    </w:p>
  </w:endnote>
  <w:endnote w:type="continuationSeparator" w:id="0">
    <w:p w:rsidR="00EA24B3" w:rsidRDefault="00EA24B3" w:rsidP="009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B3" w:rsidRDefault="00EA24B3" w:rsidP="009E6C16">
      <w:r>
        <w:separator/>
      </w:r>
    </w:p>
  </w:footnote>
  <w:footnote w:type="continuationSeparator" w:id="0">
    <w:p w:rsidR="00EA24B3" w:rsidRDefault="00EA24B3" w:rsidP="009E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E6C16">
      <w:trPr>
        <w:trHeight w:val="56"/>
      </w:trPr>
      <w:tc>
        <w:tcPr>
          <w:tcW w:w="10421" w:type="dxa"/>
        </w:tcPr>
        <w:p w:rsidR="009E6C16" w:rsidRDefault="009E6C1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16"/>
    <w:rsid w:val="0071113A"/>
    <w:rsid w:val="009E6C16"/>
    <w:rsid w:val="00E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E6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E6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7295</Words>
  <Characters>41585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2024-03-22T11:24:00Z</dcterms:created>
  <dcterms:modified xsi:type="dcterms:W3CDTF">2024-03-22T11:24:00Z</dcterms:modified>
</cp:coreProperties>
</file>